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686A" w14:textId="20F4D44E" w:rsidR="00BA54A1" w:rsidRPr="004F2ADC" w:rsidRDefault="00BA54A1" w:rsidP="00A67147">
      <w:pPr>
        <w:widowControl w:val="0"/>
        <w:autoSpaceDE w:val="0"/>
        <w:autoSpaceDN w:val="0"/>
        <w:spacing w:before="80"/>
        <w:jc w:val="center"/>
        <w:rPr>
          <w:rFonts w:ascii="Segoe UI" w:eastAsia="Arial" w:hAnsi="Segoe UI" w:cs="Segoe UI"/>
          <w:b/>
          <w:bCs/>
          <w:sz w:val="24"/>
        </w:rPr>
      </w:pPr>
      <w:r>
        <w:rPr>
          <w:rFonts w:ascii="Segoe UI" w:hAnsi="Segoe UI"/>
          <w:b/>
          <w:sz w:val="24"/>
        </w:rPr>
        <w:t>Clasificaciones por compañía de MDRT – Preguntas frecuentes</w:t>
      </w:r>
      <w:r>
        <w:rPr>
          <w:rFonts w:ascii="Segoe UI" w:hAnsi="Segoe UI"/>
          <w:b/>
          <w:sz w:val="24"/>
        </w:rPr>
        <w:br/>
      </w:r>
    </w:p>
    <w:p w14:paraId="021DB198" w14:textId="6A9303B9" w:rsidR="004F2ADC" w:rsidRPr="004F2ADC" w:rsidRDefault="00BA54A1" w:rsidP="00A67147">
      <w:pPr>
        <w:pStyle w:val="Prrafodelista"/>
        <w:widowControl w:val="0"/>
        <w:numPr>
          <w:ilvl w:val="0"/>
          <w:numId w:val="3"/>
        </w:numPr>
        <w:tabs>
          <w:tab w:val="left" w:pos="1080"/>
        </w:tabs>
        <w:autoSpaceDE w:val="0"/>
        <w:autoSpaceDN w:val="0"/>
        <w:spacing w:before="264"/>
        <w:jc w:val="both"/>
        <w:rPr>
          <w:rFonts w:ascii="Segoe UI" w:eastAsia="Arial" w:hAnsi="Segoe UI" w:cs="Segoe UI"/>
          <w:sz w:val="22"/>
          <w:szCs w:val="22"/>
        </w:rPr>
      </w:pPr>
      <w:r>
        <w:rPr>
          <w:rFonts w:ascii="Segoe UI" w:hAnsi="Segoe UI"/>
          <w:sz w:val="22"/>
        </w:rPr>
        <w:t>P. ¿Cuándo se publicarán las clasificaciones por compañía?</w:t>
      </w:r>
    </w:p>
    <w:p w14:paraId="41F32A59" w14:textId="77777777" w:rsidR="004F2ADC" w:rsidRPr="004F2ADC" w:rsidRDefault="004F2ADC" w:rsidP="00A67147">
      <w:pPr>
        <w:pStyle w:val="Prrafodelista"/>
        <w:widowControl w:val="0"/>
        <w:tabs>
          <w:tab w:val="left" w:pos="1080"/>
        </w:tabs>
        <w:autoSpaceDE w:val="0"/>
        <w:autoSpaceDN w:val="0"/>
        <w:spacing w:before="264"/>
        <w:jc w:val="both"/>
        <w:rPr>
          <w:rFonts w:ascii="Segoe UI" w:eastAsia="Arial" w:hAnsi="Segoe UI" w:cs="Segoe UI"/>
          <w:sz w:val="12"/>
          <w:szCs w:val="12"/>
        </w:rPr>
      </w:pPr>
    </w:p>
    <w:p w14:paraId="199FBB90" w14:textId="7A39BE35" w:rsidR="00BA54A1" w:rsidRPr="004F2ADC" w:rsidRDefault="00BA54A1" w:rsidP="00A67147">
      <w:pPr>
        <w:pStyle w:val="Prrafodelista"/>
        <w:widowControl w:val="0"/>
        <w:numPr>
          <w:ilvl w:val="1"/>
          <w:numId w:val="3"/>
        </w:numPr>
        <w:tabs>
          <w:tab w:val="left" w:pos="1080"/>
        </w:tabs>
        <w:autoSpaceDE w:val="0"/>
        <w:autoSpaceDN w:val="0"/>
        <w:spacing w:before="264"/>
        <w:ind w:hanging="720"/>
        <w:jc w:val="both"/>
        <w:rPr>
          <w:rFonts w:ascii="Segoe UI" w:eastAsia="Arial" w:hAnsi="Segoe UI" w:cs="Segoe UI"/>
          <w:sz w:val="22"/>
          <w:szCs w:val="22"/>
        </w:rPr>
      </w:pPr>
      <w:r>
        <w:rPr>
          <w:rFonts w:ascii="Segoe UI" w:hAnsi="Segoe UI"/>
          <w:sz w:val="22"/>
        </w:rPr>
        <w:t>MDRT da a conocer las clasificaciones por compañía a principios o mediados de julio. La fecha exacta en la que se publicarán las clasificaciones se les comunica a las compañías con al menos tres semanas de anticipación. Las clasificaciones se basan en los datos de las membresías auditados por MDRT al 1 de julio.</w:t>
      </w:r>
    </w:p>
    <w:p w14:paraId="1FEB3E95" w14:textId="7DAFEA39" w:rsidR="00BA54A1" w:rsidRPr="004F2ADC" w:rsidRDefault="00BA54A1" w:rsidP="00A67147">
      <w:pPr>
        <w:widowControl w:val="0"/>
        <w:autoSpaceDE w:val="0"/>
        <w:autoSpaceDN w:val="0"/>
        <w:jc w:val="both"/>
        <w:rPr>
          <w:rFonts w:ascii="Segoe UI" w:eastAsia="Arial" w:hAnsi="Segoe UI" w:cs="Segoe UI"/>
          <w:b/>
          <w:bCs/>
          <w:sz w:val="22"/>
          <w:szCs w:val="22"/>
        </w:rPr>
      </w:pPr>
    </w:p>
    <w:p w14:paraId="03DC7CFB" w14:textId="2C6ABF20" w:rsidR="004F2ADC" w:rsidRPr="004F2ADC" w:rsidRDefault="00BA54A1" w:rsidP="00A67147">
      <w:pPr>
        <w:pStyle w:val="Prrafodelista"/>
        <w:widowControl w:val="0"/>
        <w:numPr>
          <w:ilvl w:val="0"/>
          <w:numId w:val="3"/>
        </w:numPr>
        <w:tabs>
          <w:tab w:val="left" w:pos="1080"/>
        </w:tabs>
        <w:autoSpaceDE w:val="0"/>
        <w:autoSpaceDN w:val="0"/>
        <w:jc w:val="both"/>
        <w:rPr>
          <w:rFonts w:ascii="Segoe UI" w:eastAsia="Arial" w:hAnsi="Segoe UI" w:cs="Segoe UI"/>
          <w:sz w:val="22"/>
          <w:szCs w:val="22"/>
        </w:rPr>
      </w:pPr>
      <w:r>
        <w:rPr>
          <w:rFonts w:ascii="Segoe UI" w:hAnsi="Segoe UI"/>
          <w:sz w:val="22"/>
        </w:rPr>
        <w:t>P. ¿Las clasificaciones cambiarán si después del 1 de julio se aprueban más miembros?</w:t>
      </w:r>
    </w:p>
    <w:p w14:paraId="7782D7BC" w14:textId="77777777" w:rsidR="004F2ADC" w:rsidRPr="004F2ADC" w:rsidRDefault="004F2ADC" w:rsidP="00A67147">
      <w:pPr>
        <w:pStyle w:val="Prrafodelista"/>
        <w:widowControl w:val="0"/>
        <w:tabs>
          <w:tab w:val="left" w:pos="1080"/>
        </w:tabs>
        <w:autoSpaceDE w:val="0"/>
        <w:autoSpaceDN w:val="0"/>
        <w:jc w:val="both"/>
        <w:rPr>
          <w:rFonts w:ascii="Segoe UI" w:eastAsia="Arial" w:hAnsi="Segoe UI" w:cs="Segoe UI"/>
          <w:sz w:val="12"/>
          <w:szCs w:val="12"/>
        </w:rPr>
      </w:pPr>
    </w:p>
    <w:p w14:paraId="2C46B81B" w14:textId="696F45FD" w:rsidR="00BA54A1" w:rsidRPr="004F2ADC" w:rsidRDefault="00BA54A1" w:rsidP="00A67147">
      <w:pPr>
        <w:pStyle w:val="Prrafodelista"/>
        <w:widowControl w:val="0"/>
        <w:numPr>
          <w:ilvl w:val="1"/>
          <w:numId w:val="3"/>
        </w:numPr>
        <w:tabs>
          <w:tab w:val="left" w:pos="1080"/>
        </w:tabs>
        <w:autoSpaceDE w:val="0"/>
        <w:autoSpaceDN w:val="0"/>
        <w:ind w:hanging="720"/>
        <w:jc w:val="both"/>
        <w:rPr>
          <w:rFonts w:ascii="Segoe UI" w:eastAsia="Arial" w:hAnsi="Segoe UI" w:cs="Segoe UI"/>
          <w:sz w:val="22"/>
          <w:szCs w:val="22"/>
        </w:rPr>
      </w:pPr>
      <w:r>
        <w:rPr>
          <w:rFonts w:ascii="Segoe UI" w:hAnsi="Segoe UI"/>
          <w:sz w:val="22"/>
        </w:rPr>
        <w:t>No. La información oficial sobre las clasificaciones al 1.° de julio permanecerá sin cambios y no se actualizará. Una vez que se dan a conocer, las clasificaciones de las compañías son inamovibles y no cambiarán.</w:t>
      </w:r>
    </w:p>
    <w:p w14:paraId="3011B2A2" w14:textId="60B99440" w:rsidR="00BA54A1" w:rsidRPr="004F2ADC" w:rsidRDefault="00BA54A1" w:rsidP="00A67147">
      <w:pPr>
        <w:widowControl w:val="0"/>
        <w:autoSpaceDE w:val="0"/>
        <w:autoSpaceDN w:val="0"/>
        <w:spacing w:before="1"/>
        <w:jc w:val="both"/>
        <w:rPr>
          <w:rFonts w:ascii="Segoe UI" w:eastAsia="Arial" w:hAnsi="Segoe UI" w:cs="Segoe UI"/>
          <w:sz w:val="22"/>
          <w:szCs w:val="22"/>
        </w:rPr>
      </w:pPr>
    </w:p>
    <w:p w14:paraId="396BD50F" w14:textId="68DED3E1" w:rsidR="004F2ADC" w:rsidRDefault="00BA54A1" w:rsidP="00A67147">
      <w:pPr>
        <w:pStyle w:val="Prrafodelista"/>
        <w:widowControl w:val="0"/>
        <w:numPr>
          <w:ilvl w:val="0"/>
          <w:numId w:val="3"/>
        </w:numPr>
        <w:tabs>
          <w:tab w:val="left" w:pos="1080"/>
        </w:tabs>
        <w:autoSpaceDE w:val="0"/>
        <w:autoSpaceDN w:val="0"/>
        <w:ind w:right="267"/>
        <w:jc w:val="both"/>
        <w:rPr>
          <w:rFonts w:ascii="Segoe UI" w:eastAsia="Arial" w:hAnsi="Segoe UI" w:cs="Segoe UI"/>
          <w:sz w:val="22"/>
          <w:szCs w:val="22"/>
        </w:rPr>
      </w:pPr>
      <w:r>
        <w:rPr>
          <w:rFonts w:ascii="Segoe UI" w:hAnsi="Segoe UI"/>
          <w:sz w:val="22"/>
        </w:rPr>
        <w:t>P. ¿Qué compañías son elegibles para las clasificaciones del Top 25 en crecimiento, retención y permanencia?</w:t>
      </w:r>
    </w:p>
    <w:p w14:paraId="6CD66E09" w14:textId="77777777" w:rsidR="004F2ADC" w:rsidRPr="004F2ADC" w:rsidRDefault="004F2ADC" w:rsidP="00A67147">
      <w:pPr>
        <w:pStyle w:val="Prrafodelista"/>
        <w:widowControl w:val="0"/>
        <w:tabs>
          <w:tab w:val="left" w:pos="1080"/>
        </w:tabs>
        <w:autoSpaceDE w:val="0"/>
        <w:autoSpaceDN w:val="0"/>
        <w:ind w:right="267"/>
        <w:jc w:val="both"/>
        <w:rPr>
          <w:rFonts w:ascii="Segoe UI" w:eastAsia="Arial" w:hAnsi="Segoe UI" w:cs="Segoe UI"/>
          <w:sz w:val="12"/>
          <w:szCs w:val="12"/>
        </w:rPr>
      </w:pPr>
    </w:p>
    <w:p w14:paraId="4956BD79" w14:textId="36B42E95" w:rsidR="009B1BFB" w:rsidRPr="004F2ADC" w:rsidRDefault="009B1BFB" w:rsidP="00A67147">
      <w:pPr>
        <w:pStyle w:val="Prrafodelista"/>
        <w:widowControl w:val="0"/>
        <w:numPr>
          <w:ilvl w:val="1"/>
          <w:numId w:val="3"/>
        </w:numPr>
        <w:tabs>
          <w:tab w:val="left" w:pos="1080"/>
        </w:tabs>
        <w:autoSpaceDE w:val="0"/>
        <w:autoSpaceDN w:val="0"/>
        <w:ind w:right="267" w:hanging="720"/>
        <w:jc w:val="both"/>
        <w:rPr>
          <w:rFonts w:ascii="Segoe UI" w:eastAsia="Arial" w:hAnsi="Segoe UI" w:cs="Segoe UI"/>
          <w:sz w:val="22"/>
          <w:szCs w:val="22"/>
        </w:rPr>
      </w:pPr>
      <w:r>
        <w:rPr>
          <w:rFonts w:ascii="Segoe UI" w:hAnsi="Segoe UI"/>
          <w:sz w:val="22"/>
        </w:rPr>
        <w:t>Las compañías deben haber tenido al menos 500 miembros tanto en el año anterior como en el actual para calificar. Para la clasificación de 2025, esto significa más de 500 miembros en 2023 y 2024.</w:t>
      </w:r>
    </w:p>
    <w:p w14:paraId="55AF9209" w14:textId="4A794BB8" w:rsidR="00BA54A1" w:rsidRPr="004F2ADC" w:rsidRDefault="00BA54A1" w:rsidP="00A67147">
      <w:pPr>
        <w:widowControl w:val="0"/>
        <w:autoSpaceDE w:val="0"/>
        <w:autoSpaceDN w:val="0"/>
        <w:jc w:val="both"/>
        <w:rPr>
          <w:rFonts w:ascii="Segoe UI" w:eastAsia="Arial" w:hAnsi="Segoe UI" w:cs="Segoe UI"/>
          <w:sz w:val="22"/>
          <w:szCs w:val="22"/>
        </w:rPr>
      </w:pPr>
    </w:p>
    <w:p w14:paraId="2967385D" w14:textId="3DA7DC9C" w:rsidR="004F2ADC" w:rsidRDefault="00BA54A1" w:rsidP="00A67147">
      <w:pPr>
        <w:pStyle w:val="Prrafodelista"/>
        <w:widowControl w:val="0"/>
        <w:numPr>
          <w:ilvl w:val="0"/>
          <w:numId w:val="3"/>
        </w:numPr>
        <w:tabs>
          <w:tab w:val="left" w:pos="1080"/>
        </w:tabs>
        <w:autoSpaceDE w:val="0"/>
        <w:autoSpaceDN w:val="0"/>
        <w:ind w:right="1105"/>
        <w:jc w:val="both"/>
        <w:rPr>
          <w:rFonts w:ascii="Segoe UI" w:eastAsia="Arial" w:hAnsi="Segoe UI" w:cs="Segoe UI"/>
          <w:sz w:val="22"/>
          <w:szCs w:val="22"/>
        </w:rPr>
      </w:pPr>
      <w:r>
        <w:rPr>
          <w:rFonts w:ascii="Segoe UI" w:hAnsi="Segoe UI"/>
          <w:sz w:val="22"/>
        </w:rPr>
        <w:t>P.   ¿La clasificación de las 25 empresas con mayor crecimiento puede incluir menos de 25 compañías?</w:t>
      </w:r>
    </w:p>
    <w:p w14:paraId="63DEC091" w14:textId="77777777" w:rsidR="004F2ADC" w:rsidRPr="004F2ADC" w:rsidRDefault="004F2ADC" w:rsidP="00A67147">
      <w:pPr>
        <w:pStyle w:val="Prrafodelista"/>
        <w:widowControl w:val="0"/>
        <w:tabs>
          <w:tab w:val="left" w:pos="1080"/>
        </w:tabs>
        <w:autoSpaceDE w:val="0"/>
        <w:autoSpaceDN w:val="0"/>
        <w:ind w:right="1105"/>
        <w:jc w:val="both"/>
        <w:rPr>
          <w:rFonts w:ascii="Segoe UI" w:eastAsia="Arial" w:hAnsi="Segoe UI" w:cs="Segoe UI"/>
          <w:sz w:val="12"/>
          <w:szCs w:val="12"/>
        </w:rPr>
      </w:pPr>
    </w:p>
    <w:p w14:paraId="67865CD6" w14:textId="6EC1DB8F" w:rsidR="00C14A85" w:rsidRPr="004F2ADC" w:rsidRDefault="00C14A85" w:rsidP="00A67147">
      <w:pPr>
        <w:pStyle w:val="Prrafodelista"/>
        <w:widowControl w:val="0"/>
        <w:numPr>
          <w:ilvl w:val="1"/>
          <w:numId w:val="3"/>
        </w:numPr>
        <w:tabs>
          <w:tab w:val="left" w:pos="1080"/>
        </w:tabs>
        <w:autoSpaceDE w:val="0"/>
        <w:autoSpaceDN w:val="0"/>
        <w:ind w:right="1105" w:hanging="720"/>
        <w:jc w:val="both"/>
        <w:rPr>
          <w:rFonts w:ascii="Segoe UI" w:eastAsia="Arial" w:hAnsi="Segoe UI" w:cs="Segoe UI"/>
          <w:sz w:val="22"/>
          <w:szCs w:val="22"/>
        </w:rPr>
      </w:pPr>
      <w:r>
        <w:rPr>
          <w:rFonts w:ascii="Segoe UI" w:hAnsi="Segoe UI"/>
          <w:sz w:val="22"/>
        </w:rPr>
        <w:t xml:space="preserve">Sí. Solo se incluye a las compañías con un </w:t>
      </w:r>
      <w:r>
        <w:rPr>
          <w:rFonts w:ascii="Segoe UI" w:hAnsi="Segoe UI"/>
          <w:b/>
          <w:bCs/>
          <w:sz w:val="22"/>
        </w:rPr>
        <w:t>crecimiento general positivo</w:t>
      </w:r>
      <w:r>
        <w:rPr>
          <w:rFonts w:ascii="Segoe UI" w:hAnsi="Segoe UI"/>
          <w:sz w:val="22"/>
        </w:rPr>
        <w:t xml:space="preserve">. Para calificar, una compañía debe </w:t>
      </w:r>
      <w:r>
        <w:rPr>
          <w:rFonts w:ascii="Segoe UI" w:hAnsi="Segoe UI"/>
          <w:b/>
          <w:bCs/>
          <w:sz w:val="22"/>
        </w:rPr>
        <w:t>cumplir con los siguientes requisitos</w:t>
      </w:r>
      <w:r>
        <w:rPr>
          <w:rFonts w:ascii="Segoe UI" w:hAnsi="Segoe UI"/>
          <w:sz w:val="22"/>
        </w:rPr>
        <w:t>:</w:t>
      </w:r>
    </w:p>
    <w:p w14:paraId="1C42E1E4" w14:textId="77777777" w:rsidR="00C14A85" w:rsidRPr="00C14A85" w:rsidRDefault="00C14A85" w:rsidP="00A67147">
      <w:pPr>
        <w:widowControl w:val="0"/>
        <w:tabs>
          <w:tab w:val="left" w:pos="1080"/>
        </w:tabs>
        <w:autoSpaceDE w:val="0"/>
        <w:autoSpaceDN w:val="0"/>
        <w:ind w:left="1080" w:right="411" w:hanging="720"/>
        <w:jc w:val="both"/>
        <w:rPr>
          <w:rFonts w:ascii="Segoe UI" w:eastAsia="Arial" w:hAnsi="Segoe UI" w:cs="Segoe UI"/>
          <w:sz w:val="12"/>
          <w:szCs w:val="12"/>
        </w:rPr>
      </w:pPr>
    </w:p>
    <w:p w14:paraId="563CC9FB" w14:textId="6CDCE7B4" w:rsidR="00C14A85" w:rsidRPr="00C14A85" w:rsidRDefault="00C14A85" w:rsidP="00A67147">
      <w:pPr>
        <w:widowControl w:val="0"/>
        <w:autoSpaceDE w:val="0"/>
        <w:autoSpaceDN w:val="0"/>
        <w:ind w:left="720" w:right="162" w:firstLine="720"/>
        <w:jc w:val="both"/>
        <w:rPr>
          <w:rFonts w:ascii="Segoe UI" w:eastAsia="Arial" w:hAnsi="Segoe UI" w:cs="Segoe UI"/>
          <w:bCs/>
          <w:i/>
          <w:sz w:val="22"/>
          <w:szCs w:val="22"/>
        </w:rPr>
      </w:pPr>
      <w:r>
        <w:rPr>
          <w:rFonts w:ascii="Segoe UI" w:hAnsi="Segoe UI"/>
          <w:b/>
          <w:i/>
          <w:iCs/>
          <w:sz w:val="22"/>
        </w:rPr>
        <w:t>Crecimiento total del número miembros</w:t>
      </w:r>
      <w:r>
        <w:rPr>
          <w:rFonts w:ascii="Segoe UI" w:hAnsi="Segoe UI"/>
          <w:b/>
          <w:i/>
          <w:sz w:val="22"/>
        </w:rPr>
        <w:t>: </w:t>
      </w:r>
      <w:r>
        <w:rPr>
          <w:rFonts w:ascii="Segoe UI" w:hAnsi="Segoe UI"/>
          <w:i/>
          <w:sz w:val="22"/>
        </w:rPr>
        <w:t>Al menos 25 miembros</w:t>
      </w:r>
    </w:p>
    <w:p w14:paraId="048DE7A0" w14:textId="19BE226B" w:rsidR="00BA54A1" w:rsidRDefault="00BA54A1" w:rsidP="00A67147">
      <w:pPr>
        <w:widowControl w:val="0"/>
        <w:autoSpaceDE w:val="0"/>
        <w:autoSpaceDN w:val="0"/>
        <w:ind w:left="1080" w:right="162" w:firstLine="360"/>
        <w:jc w:val="both"/>
        <w:rPr>
          <w:rFonts w:ascii="Segoe UI" w:eastAsia="Arial" w:hAnsi="Segoe UI" w:cs="Segoe UI"/>
          <w:spacing w:val="-4"/>
          <w:sz w:val="22"/>
          <w:szCs w:val="22"/>
        </w:rPr>
      </w:pPr>
      <w:r>
        <w:rPr>
          <w:rFonts w:ascii="Segoe UI" w:hAnsi="Segoe UI"/>
          <w:b/>
          <w:i/>
          <w:sz w:val="22"/>
        </w:rPr>
        <w:t xml:space="preserve">Porcentaje de crecimiento: </w:t>
      </w:r>
      <w:r>
        <w:rPr>
          <w:rFonts w:ascii="Segoe UI" w:hAnsi="Segoe UI"/>
          <w:i/>
          <w:sz w:val="22"/>
        </w:rPr>
        <w:t>Al menos 5 %</w:t>
      </w:r>
    </w:p>
    <w:p w14:paraId="2E5BE8E8" w14:textId="2A5A9DF9" w:rsidR="004F2ADC" w:rsidRPr="004F2ADC" w:rsidRDefault="004F2ADC" w:rsidP="00A67147">
      <w:pPr>
        <w:widowControl w:val="0"/>
        <w:autoSpaceDE w:val="0"/>
        <w:autoSpaceDN w:val="0"/>
        <w:ind w:right="162"/>
        <w:jc w:val="both"/>
        <w:rPr>
          <w:rFonts w:ascii="Segoe UI" w:eastAsia="Arial" w:hAnsi="Segoe UI" w:cs="Segoe UI"/>
          <w:spacing w:val="-4"/>
          <w:sz w:val="22"/>
          <w:szCs w:val="22"/>
        </w:rPr>
      </w:pPr>
    </w:p>
    <w:p w14:paraId="1CA95332" w14:textId="285D5E78" w:rsidR="004F2ADC" w:rsidRDefault="00BA54A1" w:rsidP="00A67147">
      <w:pPr>
        <w:pStyle w:val="Prrafodelista"/>
        <w:widowControl w:val="0"/>
        <w:numPr>
          <w:ilvl w:val="0"/>
          <w:numId w:val="3"/>
        </w:numPr>
        <w:tabs>
          <w:tab w:val="left" w:pos="1080"/>
        </w:tabs>
        <w:autoSpaceDE w:val="0"/>
        <w:autoSpaceDN w:val="0"/>
        <w:spacing w:after="240"/>
        <w:jc w:val="both"/>
        <w:rPr>
          <w:rFonts w:ascii="Segoe UI" w:eastAsia="Arial" w:hAnsi="Segoe UI" w:cs="Segoe UI"/>
          <w:spacing w:val="-2"/>
          <w:sz w:val="22"/>
          <w:szCs w:val="22"/>
        </w:rPr>
      </w:pPr>
      <w:r>
        <w:rPr>
          <w:rFonts w:ascii="Segoe UI" w:hAnsi="Segoe UI"/>
          <w:sz w:val="22"/>
        </w:rPr>
        <w:t>P. ¿Puedo tener acceso a los datos de las compañías más allá de los que se publican en las clasificaciones?</w:t>
      </w:r>
    </w:p>
    <w:p w14:paraId="3A12F22C" w14:textId="77777777" w:rsidR="004F2ADC" w:rsidRPr="004F2ADC" w:rsidRDefault="004F2ADC" w:rsidP="00A67147">
      <w:pPr>
        <w:pStyle w:val="Prrafodelista"/>
        <w:widowControl w:val="0"/>
        <w:tabs>
          <w:tab w:val="left" w:pos="1080"/>
        </w:tabs>
        <w:autoSpaceDE w:val="0"/>
        <w:autoSpaceDN w:val="0"/>
        <w:spacing w:after="240"/>
        <w:jc w:val="both"/>
        <w:rPr>
          <w:rFonts w:ascii="Segoe UI" w:eastAsia="Arial" w:hAnsi="Segoe UI" w:cs="Segoe UI"/>
          <w:spacing w:val="-2"/>
          <w:sz w:val="12"/>
          <w:szCs w:val="12"/>
        </w:rPr>
      </w:pPr>
    </w:p>
    <w:p w14:paraId="5575BCDA" w14:textId="71B1DAB3" w:rsidR="00BA54A1" w:rsidRPr="004F2ADC" w:rsidRDefault="00A51E49" w:rsidP="00A67147">
      <w:pPr>
        <w:pStyle w:val="Prrafodelista"/>
        <w:widowControl w:val="0"/>
        <w:numPr>
          <w:ilvl w:val="1"/>
          <w:numId w:val="3"/>
        </w:numPr>
        <w:tabs>
          <w:tab w:val="left" w:pos="1080"/>
        </w:tabs>
        <w:autoSpaceDE w:val="0"/>
        <w:autoSpaceDN w:val="0"/>
        <w:spacing w:after="240"/>
        <w:ind w:hanging="720"/>
        <w:jc w:val="both"/>
        <w:rPr>
          <w:rFonts w:ascii="Segoe UI" w:eastAsia="Arial" w:hAnsi="Segoe UI" w:cs="Segoe UI"/>
          <w:spacing w:val="-2"/>
          <w:sz w:val="22"/>
          <w:szCs w:val="22"/>
        </w:rPr>
      </w:pPr>
      <w:r>
        <w:rPr>
          <w:rFonts w:ascii="Segoe UI" w:hAnsi="Segoe UI"/>
          <w:sz w:val="22"/>
        </w:rPr>
        <w:t>No. MDRT únicamente comparte los datos de las compañías que se publican en las clasificaciones oficiales. Si tienes alguna pregunta, ponte en contacto con </w:t>
      </w:r>
      <w:hyperlink r:id="rId10" w:tgtFrame="_blank" w:tooltip="mailto:companies@mdrt.org" w:history="1">
        <w:r>
          <w:rPr>
            <w:rStyle w:val="Hipervnculo"/>
            <w:rFonts w:ascii="Segoe UI" w:hAnsi="Segoe UI"/>
            <w:b/>
            <w:color w:val="auto"/>
            <w:sz w:val="22"/>
            <w:u w:val="none"/>
          </w:rPr>
          <w:t>companies@mdrt.org</w:t>
        </w:r>
      </w:hyperlink>
      <w:r>
        <w:rPr>
          <w:rFonts w:ascii="Segoe UI" w:hAnsi="Segoe UI"/>
          <w:sz w:val="22"/>
        </w:rPr>
        <w:t>.</w:t>
      </w:r>
    </w:p>
    <w:p w14:paraId="375708AE" w14:textId="77777777" w:rsidR="004F2ADC" w:rsidRPr="004F2ADC" w:rsidRDefault="004F2ADC" w:rsidP="00A67147">
      <w:pPr>
        <w:pStyle w:val="Prrafodelista"/>
        <w:widowControl w:val="0"/>
        <w:tabs>
          <w:tab w:val="left" w:pos="1080"/>
        </w:tabs>
        <w:autoSpaceDE w:val="0"/>
        <w:autoSpaceDN w:val="0"/>
        <w:spacing w:after="240"/>
        <w:ind w:left="360"/>
        <w:jc w:val="both"/>
        <w:rPr>
          <w:rFonts w:ascii="Segoe UI" w:eastAsia="Arial" w:hAnsi="Segoe UI" w:cs="Segoe UI"/>
          <w:spacing w:val="-2"/>
          <w:sz w:val="22"/>
          <w:szCs w:val="22"/>
        </w:rPr>
      </w:pPr>
    </w:p>
    <w:p w14:paraId="4490A093" w14:textId="77777777" w:rsidR="00C038B7" w:rsidRPr="00132FC1" w:rsidRDefault="00BA54A1" w:rsidP="00A67147">
      <w:pPr>
        <w:pStyle w:val="Prrafodelista"/>
        <w:widowControl w:val="0"/>
        <w:numPr>
          <w:ilvl w:val="0"/>
          <w:numId w:val="3"/>
        </w:numPr>
        <w:tabs>
          <w:tab w:val="left" w:pos="1080"/>
        </w:tabs>
        <w:autoSpaceDE w:val="0"/>
        <w:autoSpaceDN w:val="0"/>
        <w:spacing w:before="1"/>
        <w:jc w:val="both"/>
        <w:rPr>
          <w:rFonts w:ascii="Segoe UI" w:eastAsia="Arial" w:hAnsi="Segoe UI" w:cs="Segoe UI"/>
          <w:sz w:val="22"/>
          <w:szCs w:val="22"/>
        </w:rPr>
      </w:pPr>
      <w:r>
        <w:rPr>
          <w:rFonts w:ascii="Segoe UI" w:hAnsi="Segoe UI"/>
          <w:sz w:val="22"/>
        </w:rPr>
        <w:t>P. ¿MDRT publica alguna otra clasificación de las membresías?</w:t>
      </w:r>
    </w:p>
    <w:p w14:paraId="1F8535B5" w14:textId="77777777" w:rsidR="00CC610D" w:rsidRPr="00CF3700" w:rsidRDefault="00CC610D" w:rsidP="00A67147">
      <w:pPr>
        <w:pStyle w:val="Prrafodelista"/>
        <w:widowControl w:val="0"/>
        <w:tabs>
          <w:tab w:val="left" w:pos="1080"/>
        </w:tabs>
        <w:autoSpaceDE w:val="0"/>
        <w:autoSpaceDN w:val="0"/>
        <w:spacing w:before="1"/>
        <w:jc w:val="both"/>
        <w:rPr>
          <w:rFonts w:ascii="Segoe UI" w:eastAsia="Arial" w:hAnsi="Segoe UI" w:cs="Segoe UI"/>
          <w:sz w:val="12"/>
          <w:szCs w:val="12"/>
        </w:rPr>
      </w:pPr>
    </w:p>
    <w:p w14:paraId="4BEE8CBE" w14:textId="6F6EDDA4" w:rsidR="00C038B7" w:rsidRDefault="00BA54A1" w:rsidP="00A67147">
      <w:pPr>
        <w:pStyle w:val="Prrafodelista"/>
        <w:widowControl w:val="0"/>
        <w:numPr>
          <w:ilvl w:val="1"/>
          <w:numId w:val="3"/>
        </w:numPr>
        <w:tabs>
          <w:tab w:val="left" w:pos="1080"/>
        </w:tabs>
        <w:autoSpaceDE w:val="0"/>
        <w:autoSpaceDN w:val="0"/>
        <w:spacing w:before="1"/>
        <w:ind w:hanging="720"/>
        <w:jc w:val="both"/>
        <w:rPr>
          <w:rFonts w:ascii="Segoe UI" w:eastAsia="Arial" w:hAnsi="Segoe UI" w:cs="Segoe UI"/>
          <w:sz w:val="22"/>
          <w:szCs w:val="22"/>
        </w:rPr>
      </w:pPr>
      <w:r>
        <w:rPr>
          <w:rFonts w:ascii="Segoe UI" w:hAnsi="Segoe UI"/>
          <w:sz w:val="22"/>
        </w:rPr>
        <w:t xml:space="preserve">MDRT no lo hace; sin embargo, MDRT Center </w:t>
      </w:r>
      <w:proofErr w:type="spellStart"/>
      <w:r>
        <w:rPr>
          <w:rFonts w:ascii="Segoe UI" w:hAnsi="Segoe UI"/>
          <w:sz w:val="22"/>
        </w:rPr>
        <w:t>for</w:t>
      </w:r>
      <w:proofErr w:type="spellEnd"/>
      <w:r>
        <w:rPr>
          <w:rFonts w:ascii="Segoe UI" w:hAnsi="Segoe UI"/>
          <w:sz w:val="22"/>
        </w:rPr>
        <w:t xml:space="preserve"> Field Leadership anuncia cada año a los ganadores del Premio a la cultura de la excelencia de MDRT para reconocer la excelencia en seis áreas específicas de la gestión de las agencias: producción, retención, </w:t>
      </w:r>
      <w:r>
        <w:rPr>
          <w:rFonts w:ascii="Segoe UI" w:hAnsi="Segoe UI"/>
          <w:sz w:val="22"/>
        </w:rPr>
        <w:lastRenderedPageBreak/>
        <w:t xml:space="preserve">reclutamiento, conservación, persona íntegra y número de membresías de MDRT/MDRT Academy. </w:t>
      </w:r>
    </w:p>
    <w:p w14:paraId="67FB9CB3" w14:textId="77777777" w:rsidR="00C038B7" w:rsidRDefault="00C038B7" w:rsidP="00A67147">
      <w:pPr>
        <w:widowControl w:val="0"/>
        <w:tabs>
          <w:tab w:val="left" w:pos="1080"/>
        </w:tabs>
        <w:autoSpaceDE w:val="0"/>
        <w:autoSpaceDN w:val="0"/>
        <w:spacing w:before="1"/>
        <w:ind w:left="720"/>
        <w:jc w:val="both"/>
        <w:rPr>
          <w:rFonts w:ascii="Segoe UI" w:eastAsia="Arial" w:hAnsi="Segoe UI" w:cs="Segoe UI"/>
          <w:sz w:val="22"/>
          <w:szCs w:val="22"/>
        </w:rPr>
      </w:pPr>
    </w:p>
    <w:p w14:paraId="1120F56E" w14:textId="0B0C0A81" w:rsidR="00837323" w:rsidRPr="004D1D78" w:rsidRDefault="00BA54A1" w:rsidP="00A67147">
      <w:pPr>
        <w:widowControl w:val="0"/>
        <w:tabs>
          <w:tab w:val="left" w:pos="1080"/>
        </w:tabs>
        <w:autoSpaceDE w:val="0"/>
        <w:autoSpaceDN w:val="0"/>
        <w:spacing w:before="1"/>
        <w:ind w:left="1440"/>
        <w:jc w:val="both"/>
        <w:rPr>
          <w:rFonts w:ascii="Segoe UI" w:eastAsia="Arial" w:hAnsi="Segoe UI" w:cs="Segoe UI"/>
          <w:sz w:val="22"/>
          <w:szCs w:val="22"/>
        </w:rPr>
      </w:pPr>
      <w:r w:rsidRPr="004D1D78">
        <w:rPr>
          <w:rFonts w:ascii="Segoe UI" w:hAnsi="Segoe UI" w:cs="Segoe UI"/>
          <w:sz w:val="22"/>
          <w:szCs w:val="22"/>
        </w:rPr>
        <w:t xml:space="preserve">Las preguntas relacionadas con los Premios a la cultura de la excelencia de MDRT pueden dirigirse a </w:t>
      </w:r>
      <w:hyperlink r:id="rId11">
        <w:r w:rsidRPr="004D1D78">
          <w:rPr>
            <w:rFonts w:ascii="Segoe UI" w:hAnsi="Segoe UI" w:cs="Segoe UI"/>
            <w:b/>
            <w:sz w:val="22"/>
            <w:szCs w:val="22"/>
          </w:rPr>
          <w:t>info@mdrtcenter.org</w:t>
        </w:r>
        <w:r w:rsidRPr="004D1D78">
          <w:rPr>
            <w:rFonts w:ascii="Segoe UI" w:hAnsi="Segoe UI" w:cs="Segoe UI"/>
            <w:sz w:val="22"/>
            <w:szCs w:val="22"/>
          </w:rPr>
          <w:t>.</w:t>
        </w:r>
      </w:hyperlink>
    </w:p>
    <w:sectPr w:rsidR="00837323" w:rsidRPr="004D1D78" w:rsidSect="0088206F">
      <w:headerReference w:type="default" r:id="rId12"/>
      <w:footerReference w:type="default" r:id="rId13"/>
      <w:pgSz w:w="12240" w:h="15840"/>
      <w:pgMar w:top="2304"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69D8" w14:textId="77777777" w:rsidR="00E674C2" w:rsidRDefault="00E674C2" w:rsidP="00AA69B3">
      <w:r>
        <w:separator/>
      </w:r>
    </w:p>
  </w:endnote>
  <w:endnote w:type="continuationSeparator" w:id="0">
    <w:p w14:paraId="6D044E31" w14:textId="77777777" w:rsidR="00E674C2" w:rsidRDefault="00E674C2" w:rsidP="00AA69B3">
      <w:r>
        <w:continuationSeparator/>
      </w:r>
    </w:p>
  </w:endnote>
  <w:endnote w:type="continuationNotice" w:id="1">
    <w:p w14:paraId="6D24FD5E" w14:textId="77777777" w:rsidR="00E674C2" w:rsidRDefault="00E67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1A24BFB" w14:paraId="1599FFDB" w14:textId="77777777" w:rsidTr="51A24BFB">
      <w:trPr>
        <w:trHeight w:val="300"/>
      </w:trPr>
      <w:tc>
        <w:tcPr>
          <w:tcW w:w="3360" w:type="dxa"/>
        </w:tcPr>
        <w:p w14:paraId="5C8C56B5" w14:textId="5D06C228" w:rsidR="51A24BFB" w:rsidRDefault="51A24BFB" w:rsidP="51A24BFB">
          <w:pPr>
            <w:pStyle w:val="Encabezado"/>
            <w:ind w:left="-115"/>
          </w:pPr>
        </w:p>
      </w:tc>
      <w:tc>
        <w:tcPr>
          <w:tcW w:w="3360" w:type="dxa"/>
        </w:tcPr>
        <w:p w14:paraId="4175CDDF" w14:textId="2804B635" w:rsidR="51A24BFB" w:rsidRDefault="51A24BFB" w:rsidP="51A24BFB">
          <w:pPr>
            <w:pStyle w:val="Encabezado"/>
            <w:jc w:val="center"/>
          </w:pPr>
        </w:p>
      </w:tc>
      <w:tc>
        <w:tcPr>
          <w:tcW w:w="3360" w:type="dxa"/>
        </w:tcPr>
        <w:p w14:paraId="3970946F" w14:textId="48E340AF" w:rsidR="51A24BFB" w:rsidRDefault="51A24BFB" w:rsidP="51A24BFB">
          <w:pPr>
            <w:pStyle w:val="Encabezado"/>
            <w:ind w:right="-115"/>
            <w:jc w:val="right"/>
          </w:pPr>
        </w:p>
      </w:tc>
    </w:tr>
  </w:tbl>
  <w:p w14:paraId="5D511D60" w14:textId="40D55570" w:rsidR="51A24BFB" w:rsidRDefault="51A24BFB" w:rsidP="51A24B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2967" w14:textId="77777777" w:rsidR="00E674C2" w:rsidRDefault="00E674C2" w:rsidP="00AA69B3">
      <w:r>
        <w:separator/>
      </w:r>
    </w:p>
  </w:footnote>
  <w:footnote w:type="continuationSeparator" w:id="0">
    <w:p w14:paraId="180F5D0E" w14:textId="77777777" w:rsidR="00E674C2" w:rsidRDefault="00E674C2" w:rsidP="00AA69B3">
      <w:r>
        <w:continuationSeparator/>
      </w:r>
    </w:p>
  </w:footnote>
  <w:footnote w:type="continuationNotice" w:id="1">
    <w:p w14:paraId="40A6056F" w14:textId="77777777" w:rsidR="00E674C2" w:rsidRDefault="00E67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6351" w14:textId="214A246A" w:rsidR="00AA69B3" w:rsidRPr="00BA54A1" w:rsidRDefault="00AA69B3" w:rsidP="00401B7F">
    <w:pPr>
      <w:pStyle w:val="Encabezado"/>
      <w:jc w:val="center"/>
      <w:rPr>
        <w:b/>
        <w:bCs/>
        <w:color w:val="FFFFFF"/>
        <w:sz w:val="24"/>
      </w:rPr>
    </w:pPr>
    <w:r>
      <w:rPr>
        <w:b/>
        <w:noProof/>
        <w:color w:val="FFFFFF"/>
        <w:sz w:val="40"/>
      </w:rPr>
      <w:drawing>
        <wp:anchor distT="0" distB="0" distL="114300" distR="114300" simplePos="0" relativeHeight="251658240" behindDoc="1" locked="0" layoutInCell="1" allowOverlap="1" wp14:anchorId="5DC2F125" wp14:editId="7DCA9ED5">
          <wp:simplePos x="0" y="0"/>
          <wp:positionH relativeFrom="page">
            <wp:align>right</wp:align>
          </wp:positionH>
          <wp:positionV relativeFrom="paragraph">
            <wp:posOffset>-450850</wp:posOffset>
          </wp:positionV>
          <wp:extent cx="7772400" cy="1351860"/>
          <wp:effectExtent l="0" t="0" r="0" b="127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51860"/>
                  </a:xfrm>
                  <a:prstGeom prst="rect">
                    <a:avLst/>
                  </a:prstGeom>
                  <a:noFill/>
                  <a:ln>
                    <a:noFill/>
                  </a:ln>
                </pic:spPr>
              </pic:pic>
            </a:graphicData>
          </a:graphic>
        </wp:anchor>
      </w:drawing>
    </w:r>
  </w:p>
  <w:p w14:paraId="1EA80005" w14:textId="4C322863" w:rsidR="003A0584" w:rsidRPr="00BA54A1" w:rsidRDefault="003A0584" w:rsidP="00401B7F">
    <w:pPr>
      <w:pStyle w:val="Encabezado"/>
      <w:jc w:val="center"/>
      <w:rPr>
        <w:b/>
        <w:bCs/>
        <w:color w:val="FFFFFF"/>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BC8"/>
    <w:multiLevelType w:val="hybridMultilevel"/>
    <w:tmpl w:val="306E4E18"/>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A324C29"/>
    <w:multiLevelType w:val="hybridMultilevel"/>
    <w:tmpl w:val="AA4C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03F52"/>
    <w:multiLevelType w:val="hybridMultilevel"/>
    <w:tmpl w:val="C78273D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07FCE"/>
    <w:multiLevelType w:val="multilevel"/>
    <w:tmpl w:val="88F8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755101">
    <w:abstractNumId w:val="0"/>
  </w:num>
  <w:num w:numId="2" w16cid:durableId="878857511">
    <w:abstractNumId w:val="1"/>
  </w:num>
  <w:num w:numId="3" w16cid:durableId="433403787">
    <w:abstractNumId w:val="2"/>
  </w:num>
  <w:num w:numId="4" w16cid:durableId="401024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B3"/>
    <w:rsid w:val="00003799"/>
    <w:rsid w:val="00024031"/>
    <w:rsid w:val="00066992"/>
    <w:rsid w:val="00132FC1"/>
    <w:rsid w:val="00134354"/>
    <w:rsid w:val="00244907"/>
    <w:rsid w:val="00263884"/>
    <w:rsid w:val="00275E86"/>
    <w:rsid w:val="002821A4"/>
    <w:rsid w:val="002C5F8B"/>
    <w:rsid w:val="002F69AB"/>
    <w:rsid w:val="00324E18"/>
    <w:rsid w:val="00325256"/>
    <w:rsid w:val="0034554A"/>
    <w:rsid w:val="0039407F"/>
    <w:rsid w:val="003A0584"/>
    <w:rsid w:val="003C7AB7"/>
    <w:rsid w:val="003E2428"/>
    <w:rsid w:val="003E48EA"/>
    <w:rsid w:val="00401B7F"/>
    <w:rsid w:val="00414D3B"/>
    <w:rsid w:val="0042036E"/>
    <w:rsid w:val="004244C7"/>
    <w:rsid w:val="0046116A"/>
    <w:rsid w:val="004D0A36"/>
    <w:rsid w:val="004D1D78"/>
    <w:rsid w:val="004F2ADC"/>
    <w:rsid w:val="00515F7D"/>
    <w:rsid w:val="00593152"/>
    <w:rsid w:val="005D2887"/>
    <w:rsid w:val="006002AB"/>
    <w:rsid w:val="0060578E"/>
    <w:rsid w:val="00610920"/>
    <w:rsid w:val="006436B7"/>
    <w:rsid w:val="00686441"/>
    <w:rsid w:val="006B15EE"/>
    <w:rsid w:val="006B521D"/>
    <w:rsid w:val="00701519"/>
    <w:rsid w:val="0073120B"/>
    <w:rsid w:val="00732849"/>
    <w:rsid w:val="00764AC7"/>
    <w:rsid w:val="007727C5"/>
    <w:rsid w:val="007D35E4"/>
    <w:rsid w:val="007F6F08"/>
    <w:rsid w:val="00802865"/>
    <w:rsid w:val="00813ABB"/>
    <w:rsid w:val="008239AB"/>
    <w:rsid w:val="00825BE7"/>
    <w:rsid w:val="00837323"/>
    <w:rsid w:val="008442E3"/>
    <w:rsid w:val="008621BB"/>
    <w:rsid w:val="0088206F"/>
    <w:rsid w:val="008912CB"/>
    <w:rsid w:val="008C4B79"/>
    <w:rsid w:val="009238AB"/>
    <w:rsid w:val="00937242"/>
    <w:rsid w:val="0097680C"/>
    <w:rsid w:val="00996D16"/>
    <w:rsid w:val="009A201C"/>
    <w:rsid w:val="009B1BFB"/>
    <w:rsid w:val="009B3F1E"/>
    <w:rsid w:val="009F5232"/>
    <w:rsid w:val="00A06B7F"/>
    <w:rsid w:val="00A51E49"/>
    <w:rsid w:val="00A67147"/>
    <w:rsid w:val="00AA69B3"/>
    <w:rsid w:val="00AC4C9B"/>
    <w:rsid w:val="00AC7587"/>
    <w:rsid w:val="00AD6797"/>
    <w:rsid w:val="00AE0348"/>
    <w:rsid w:val="00AF58CD"/>
    <w:rsid w:val="00B0084E"/>
    <w:rsid w:val="00B108EC"/>
    <w:rsid w:val="00B14058"/>
    <w:rsid w:val="00BA54A1"/>
    <w:rsid w:val="00BD7702"/>
    <w:rsid w:val="00C038B7"/>
    <w:rsid w:val="00C14A85"/>
    <w:rsid w:val="00C25D60"/>
    <w:rsid w:val="00C35FAA"/>
    <w:rsid w:val="00CC610D"/>
    <w:rsid w:val="00CC668C"/>
    <w:rsid w:val="00CD5EE0"/>
    <w:rsid w:val="00CD65E2"/>
    <w:rsid w:val="00CE0180"/>
    <w:rsid w:val="00CE054F"/>
    <w:rsid w:val="00CE3AEB"/>
    <w:rsid w:val="00CF3700"/>
    <w:rsid w:val="00D1070F"/>
    <w:rsid w:val="00D81ED0"/>
    <w:rsid w:val="00D84A92"/>
    <w:rsid w:val="00D90230"/>
    <w:rsid w:val="00DE722A"/>
    <w:rsid w:val="00E4004C"/>
    <w:rsid w:val="00E63AD7"/>
    <w:rsid w:val="00E674C2"/>
    <w:rsid w:val="00E7066C"/>
    <w:rsid w:val="00E809D1"/>
    <w:rsid w:val="00E90B2C"/>
    <w:rsid w:val="00E934A0"/>
    <w:rsid w:val="00F13FC9"/>
    <w:rsid w:val="00FD7925"/>
    <w:rsid w:val="00FE2E53"/>
    <w:rsid w:val="51A24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A2EAF"/>
  <w15:chartTrackingRefBased/>
  <w15:docId w15:val="{750ADF92-82EC-41E4-B5E0-346C0205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6F"/>
    <w:pPr>
      <w:spacing w:after="0" w:line="240" w:lineRule="auto"/>
    </w:pPr>
    <w:rPr>
      <w:rFonts w:ascii="Arial" w:eastAsia="Times New Roman" w:hAnsi="Arial" w:cs="Times New Roman"/>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9B3"/>
    <w:pPr>
      <w:tabs>
        <w:tab w:val="center" w:pos="4680"/>
        <w:tab w:val="right" w:pos="9360"/>
      </w:tabs>
    </w:pPr>
  </w:style>
  <w:style w:type="character" w:customStyle="1" w:styleId="EncabezadoCar">
    <w:name w:val="Encabezado Car"/>
    <w:basedOn w:val="Fuentedeprrafopredeter"/>
    <w:link w:val="Encabezado"/>
    <w:uiPriority w:val="99"/>
    <w:rsid w:val="00AA69B3"/>
  </w:style>
  <w:style w:type="paragraph" w:styleId="Piedepgina">
    <w:name w:val="footer"/>
    <w:basedOn w:val="Normal"/>
    <w:link w:val="PiedepginaCar"/>
    <w:uiPriority w:val="99"/>
    <w:unhideWhenUsed/>
    <w:rsid w:val="00AA69B3"/>
    <w:pPr>
      <w:tabs>
        <w:tab w:val="center" w:pos="4680"/>
        <w:tab w:val="right" w:pos="9360"/>
      </w:tabs>
    </w:pPr>
  </w:style>
  <w:style w:type="character" w:customStyle="1" w:styleId="PiedepginaCar">
    <w:name w:val="Pie de página Car"/>
    <w:basedOn w:val="Fuentedeprrafopredeter"/>
    <w:link w:val="Piedepgina"/>
    <w:uiPriority w:val="99"/>
    <w:rsid w:val="00AA69B3"/>
  </w:style>
  <w:style w:type="paragraph" w:styleId="Textoindependiente">
    <w:name w:val="Body Text"/>
    <w:basedOn w:val="Normal"/>
    <w:link w:val="TextoindependienteCar"/>
    <w:rsid w:val="0088206F"/>
    <w:pPr>
      <w:spacing w:after="120"/>
    </w:pPr>
  </w:style>
  <w:style w:type="character" w:customStyle="1" w:styleId="TextoindependienteCar">
    <w:name w:val="Texto independiente Car"/>
    <w:basedOn w:val="Fuentedeprrafopredeter"/>
    <w:link w:val="Textoindependiente"/>
    <w:rsid w:val="0088206F"/>
    <w:rPr>
      <w:rFonts w:ascii="Arial" w:eastAsia="Times New Roman" w:hAnsi="Arial" w:cs="Times New Roman"/>
      <w:sz w:val="20"/>
      <w:szCs w:val="24"/>
    </w:rPr>
  </w:style>
  <w:style w:type="paragraph" w:styleId="TDC1">
    <w:name w:val="toc 1"/>
    <w:basedOn w:val="Normal"/>
    <w:next w:val="Normal"/>
    <w:autoRedefine/>
    <w:semiHidden/>
    <w:rsid w:val="008912CB"/>
    <w:pPr>
      <w:spacing w:before="120" w:after="120"/>
    </w:pPr>
    <w:rPr>
      <w:rFonts w:asciiTheme="minorHAnsi" w:hAnsiTheme="minorHAnsi" w:cstheme="minorHAnsi"/>
      <w:b/>
      <w:bCs/>
      <w:sz w:val="28"/>
      <w:szCs w:val="28"/>
    </w:rPr>
  </w:style>
  <w:style w:type="table" w:styleId="Tablaconcuadrcula">
    <w:name w:val="Table Grid"/>
    <w:basedOn w:val="Tablanormal"/>
    <w:rsid w:val="00882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8206F"/>
    <w:pPr>
      <w:ind w:left="720"/>
      <w:contextualSpacing/>
    </w:pPr>
  </w:style>
  <w:style w:type="character" w:styleId="Textodelmarcadordeposicin">
    <w:name w:val="Placeholder Text"/>
    <w:basedOn w:val="Fuentedeprrafopredeter"/>
    <w:uiPriority w:val="99"/>
    <w:semiHidden/>
    <w:rsid w:val="0088206F"/>
    <w:rPr>
      <w:color w:val="808080"/>
    </w:rPr>
  </w:style>
  <w:style w:type="character" w:styleId="Hipervnculo">
    <w:name w:val="Hyperlink"/>
    <w:basedOn w:val="Fuentedeprrafopredeter"/>
    <w:uiPriority w:val="99"/>
    <w:unhideWhenUsed/>
    <w:rsid w:val="00A51E49"/>
    <w:rPr>
      <w:color w:val="0563C1" w:themeColor="hyperlink"/>
      <w:u w:val="single"/>
    </w:rPr>
  </w:style>
  <w:style w:type="character" w:styleId="Mencinsinresolver">
    <w:name w:val="Unresolved Mention"/>
    <w:basedOn w:val="Fuentedeprrafopredeter"/>
    <w:uiPriority w:val="99"/>
    <w:semiHidden/>
    <w:unhideWhenUsed/>
    <w:rsid w:val="00A51E49"/>
    <w:rPr>
      <w:color w:val="605E5C"/>
      <w:shd w:val="clear" w:color="auto" w:fill="E1DFDD"/>
    </w:rPr>
  </w:style>
  <w:style w:type="paragraph" w:styleId="Revisin">
    <w:name w:val="Revision"/>
    <w:hidden/>
    <w:uiPriority w:val="99"/>
    <w:semiHidden/>
    <w:rsid w:val="00132FC1"/>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94025">
      <w:bodyDiv w:val="1"/>
      <w:marLeft w:val="0"/>
      <w:marRight w:val="0"/>
      <w:marTop w:val="0"/>
      <w:marBottom w:val="0"/>
      <w:divBdr>
        <w:top w:val="none" w:sz="0" w:space="0" w:color="auto"/>
        <w:left w:val="none" w:sz="0" w:space="0" w:color="auto"/>
        <w:bottom w:val="none" w:sz="0" w:space="0" w:color="auto"/>
        <w:right w:val="none" w:sz="0" w:space="0" w:color="auto"/>
      </w:divBdr>
    </w:div>
    <w:div w:id="18845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drtcenter.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mpanies@mdr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DE3D17A4B5F459586604ACB09AE75" ma:contentTypeVersion="18" ma:contentTypeDescription="Create a new document." ma:contentTypeScope="" ma:versionID="2936b362b9e96f241ced26443c00ed9c">
  <xsd:schema xmlns:xsd="http://www.w3.org/2001/XMLSchema" xmlns:xs="http://www.w3.org/2001/XMLSchema" xmlns:p="http://schemas.microsoft.com/office/2006/metadata/properties" xmlns:ns1="http://schemas.microsoft.com/sharepoint/v3" xmlns:ns2="3c2e6953-6218-4375-bedb-c7a97c95e382" xmlns:ns3="02162119-e4bc-4d55-a6d9-4186c02afb3d" targetNamespace="http://schemas.microsoft.com/office/2006/metadata/properties" ma:root="true" ma:fieldsID="6b472a94af6a1b4688db2d9aa0527680" ns1:_="" ns2:_="" ns3:_="">
    <xsd:import namespace="http://schemas.microsoft.com/sharepoint/v3"/>
    <xsd:import namespace="3c2e6953-6218-4375-bedb-c7a97c95e382"/>
    <xsd:import namespace="02162119-e4bc-4d55-a6d9-4186c02afb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e6953-6218-4375-bedb-c7a97c95e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aef54e-38b7-40bf-b468-f8369c82be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62119-e4bc-4d55-a6d9-4186c02afb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2e3c37-5e1d-474e-86f3-28986cbd3595}" ma:internalName="TaxCatchAll" ma:showField="CatchAllData" ma:web="02162119-e4bc-4d55-a6d9-4186c02afb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162119-e4bc-4d55-a6d9-4186c02afb3d" xsi:nil="true"/>
    <lcf76f155ced4ddcb4097134ff3c332f xmlns="3c2e6953-6218-4375-bedb-c7a97c95e38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F76CE-57F9-480E-93B6-537D25764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2e6953-6218-4375-bedb-c7a97c95e382"/>
    <ds:schemaRef ds:uri="02162119-e4bc-4d55-a6d9-4186c02af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42748-0E2B-4AF5-ABD5-908BF1439D62}">
  <ds:schemaRefs>
    <ds:schemaRef ds:uri="http://schemas.microsoft.com/office/2006/metadata/properties"/>
    <ds:schemaRef ds:uri="http://schemas.microsoft.com/office/infopath/2007/PartnerControls"/>
    <ds:schemaRef ds:uri="02162119-e4bc-4d55-a6d9-4186c02afb3d"/>
    <ds:schemaRef ds:uri="3c2e6953-6218-4375-bedb-c7a97c95e382"/>
    <ds:schemaRef ds:uri="http://schemas.microsoft.com/sharepoint/v3"/>
  </ds:schemaRefs>
</ds:datastoreItem>
</file>

<file path=customXml/itemProps3.xml><?xml version="1.0" encoding="utf-8"?>
<ds:datastoreItem xmlns:ds="http://schemas.openxmlformats.org/officeDocument/2006/customXml" ds:itemID="{1796B04C-F99B-4466-AD82-90EA1E4CC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379</Words>
  <Characters>1959</Characters>
  <Application>Microsoft Office Word</Application>
  <DocSecurity>0</DocSecurity>
  <Lines>54</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DiAna</dc:creator>
  <cp:keywords/>
  <dc:description/>
  <cp:lastModifiedBy>Chris Retana</cp:lastModifiedBy>
  <cp:revision>3</cp:revision>
  <dcterms:created xsi:type="dcterms:W3CDTF">2025-07-02T18:33:00Z</dcterms:created>
  <dcterms:modified xsi:type="dcterms:W3CDTF">2025-07-07T05:45:00Z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0x010100224DE3D17A4B5F459586604ACB09AE75</vt:lpwstr>
  </property>
  <property fmtid="{D5CDD505-2E9C-101B-9397-08002B2CF9AE}" pid="3" name="MediaServiceImageTags">
    <vt:lpwstr/>
  </property>
  <property fmtid="{D5CDD505-2E9C-101B-9397-08002B2CF9AE}" pid="4" name="GrammarlyDocumentId">
    <vt:lpwstr>03350455-1157-4944-a529-beefbaf771d4</vt:lpwstr>
  </property>
</Properties>
</file>